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COM2 - de superficie</w:t>
      </w:r>
    </w:p>
    <w:p/>
    <w:p>
      <w:pPr/>
      <w:r>
        <w:rPr/>
        <w:t xml:space="preserve">Dimensiones (long. x anch. x alt.): 62 x 123 x 123 mm;Con detector de movimiento: Sí;Garantía de fabricante: 5 años;Configuración mediante: Bluetooth Mesh;Con mando a distancia: No;Variante: COM2 - de superficie;UE1, EAN: 4007841086343;Acabado: Detector de presencia;Aplicación, lugar: Interior;Aplicación, sala: Interior, Recibidor/pasillo;Color: Blanco;Color, RAL: 9003;Incluye soporte esquinero de pared: No;Lugar de instalación: Techo;Tipo de montaje: De superficie, Techo;Índice de protección: IP 54;Temperatura ambiente: de -20 a 50 °C;Material: Plástico;Conexión a la red: 220 – 240 V / 50 – 60 Hz;Salida de conmutación 1, óhmica: 2000 W;Salida de conmutación 1, número de LED/lámparas fluorescentes: 8 stk.;Salida de conmutación 1, sin potencial: No;Salida de conmutación 2, óhmica: 230 W;Salida de conmutación 2, sin potencial: Sí;Salida de conmutación 1, lámparas halógenas de bajo voltaje: 2000 VA;Consumo propio: 0,7 W;Tecnología, sensores: Alta frecuencia, Medición de luz mixta;Rango de tensión (mín.): 220 V;Rango de tensión (máx.): 240 V;Altura de montaje: 2 – 4 m;Altura de montaje máx.: 4,00 m;Altura de montaje óptima: 2,8 m;Técnica de AF: 5,8 GHz;Detección: Dado el caso, a través de cristal, madera y tabiques de construcción ligera;Ángulo de detección: Pasillo, 360 °;Ángulo de apertura: 160 °;Protección contra sumersión: Sí;Ocultación segmentada: No;Escalabilidad electrónica: Sí;Escalabilidad mecánica: No;Alcance radial: 25 x 3 m (75 m²);Alcance tangencial: 25 x 3 m (75 m²);Potencia de emisión: &lt; 1 mW;Funciones: Parametrización por grupos, Semi/completamente automático, Escenario lumínico, Manual ON / ON-OFF, Función de grupos colindantes, Funcionamiento normal/de prueba;Regulación crepuscular: 2 – 2000 lx;Temporización: 10 s – 60 min;Función de luz de cortesía: No;Luz principal regulable: Sí;Regulación crepuscular aprendizaje: Sí;Regulación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086343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Hallway COM2 - de superficie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2026-09-24T01:43:56+02:00</dcterms:created>
  <dcterms:modified xsi:type="dcterms:W3CDTF">2026-09-24T01:43:56+02:00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